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B" w:rsidRPr="005F4481" w:rsidRDefault="009B603B" w:rsidP="007609D4">
      <w:pPr>
        <w:spacing w:line="360" w:lineRule="auto"/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nr 2 do ogłoszenia </w:t>
      </w:r>
    </w:p>
    <w:p w:rsidR="009B603B" w:rsidRPr="005F4481" w:rsidRDefault="009B603B" w:rsidP="007609D4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B603B" w:rsidRPr="005F4481" w:rsidRDefault="009B603B" w:rsidP="007609D4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B603B" w:rsidRPr="005F4481" w:rsidRDefault="009B603B" w:rsidP="007609D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SIWZ </w:t>
      </w:r>
    </w:p>
    <w:p w:rsidR="009B603B" w:rsidRPr="005F4481" w:rsidRDefault="009B603B" w:rsidP="007609D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B603B" w:rsidRPr="005F4481" w:rsidRDefault="009B603B" w:rsidP="007609D4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</w:t>
      </w:r>
    </w:p>
    <w:p w:rsidR="009B603B" w:rsidRPr="0087497D" w:rsidRDefault="009B603B" w:rsidP="007609D4">
      <w:pPr>
        <w:spacing w:line="360" w:lineRule="auto"/>
        <w:jc w:val="center"/>
        <w:outlineLvl w:val="0"/>
      </w:pPr>
    </w:p>
    <w:p w:rsidR="009B603B" w:rsidRPr="0087497D" w:rsidRDefault="009B603B" w:rsidP="007609D4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87497D">
        <w:rPr>
          <w:rFonts w:asciiTheme="minorHAnsi" w:hAnsiTheme="minorHAnsi" w:cstheme="minorHAnsi"/>
          <w:b/>
          <w:sz w:val="22"/>
        </w:rPr>
        <w:t>„</w:t>
      </w:r>
      <w:r w:rsidR="0087497D" w:rsidRPr="0087497D">
        <w:rPr>
          <w:rFonts w:asciiTheme="minorHAnsi" w:hAnsiTheme="minorHAnsi" w:cstheme="minorHAnsi"/>
          <w:b/>
          <w:sz w:val="22"/>
        </w:rPr>
        <w:t>Wykonanie badań wiroprądowych oraz wykonanie czyszczenia hydrodynamicznego rur w kondensatorach na blokach nr 2, 3, 4, 6, 7</w:t>
      </w:r>
      <w:r w:rsidR="005D28AA">
        <w:rPr>
          <w:rFonts w:asciiTheme="minorHAnsi" w:hAnsiTheme="minorHAnsi" w:cstheme="minorHAnsi"/>
          <w:b/>
          <w:sz w:val="22"/>
        </w:rPr>
        <w:t>, 9</w:t>
      </w:r>
      <w:r w:rsidRPr="0087497D">
        <w:rPr>
          <w:rFonts w:asciiTheme="minorHAnsi" w:hAnsiTheme="minorHAnsi" w:cstheme="minorHAnsi"/>
          <w:b/>
          <w:sz w:val="22"/>
        </w:rPr>
        <w:t>”</w:t>
      </w:r>
    </w:p>
    <w:p w:rsidR="009B603B" w:rsidRPr="0087497D" w:rsidRDefault="009B603B" w:rsidP="007609D4">
      <w:pPr>
        <w:suppressAutoHyphens/>
        <w:spacing w:before="120"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497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PRZEDMIOT ZAMÓWIENIA   </w:t>
      </w:r>
    </w:p>
    <w:p w:rsidR="0087497D" w:rsidRPr="0087497D" w:rsidRDefault="0087497D" w:rsidP="007609D4">
      <w:pPr>
        <w:pStyle w:val="Akapitzlist"/>
        <w:spacing w:line="360" w:lineRule="auto"/>
        <w:ind w:left="567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„Wykonanie badań wiroprądowych oraz wykonanie czyszczenia hydrodynamicznego rur w kondensatorach na blokach nr 2, 3, 4,</w:t>
      </w:r>
      <w:r w:rsidR="00126DD4">
        <w:rPr>
          <w:rFonts w:asciiTheme="minorHAnsi" w:hAnsiTheme="minorHAnsi" w:cstheme="minorHAnsi"/>
        </w:rPr>
        <w:t xml:space="preserve"> </w:t>
      </w:r>
      <w:r w:rsidRPr="0087497D">
        <w:rPr>
          <w:rFonts w:asciiTheme="minorHAnsi" w:hAnsiTheme="minorHAnsi" w:cstheme="minorHAnsi"/>
        </w:rPr>
        <w:t>6, 7</w:t>
      </w:r>
      <w:r w:rsidR="00126DD4">
        <w:rPr>
          <w:rFonts w:asciiTheme="minorHAnsi" w:hAnsiTheme="minorHAnsi" w:cstheme="minorHAnsi"/>
        </w:rPr>
        <w:t>, 9</w:t>
      </w:r>
      <w:r w:rsidRPr="0087497D">
        <w:rPr>
          <w:rFonts w:asciiTheme="minorHAnsi" w:hAnsiTheme="minorHAnsi" w:cstheme="minorHAnsi"/>
        </w:rPr>
        <w:t>”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pacing w:after="120" w:line="480" w:lineRule="auto"/>
        <w:ind w:hanging="862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bCs/>
          <w:color w:val="000000" w:themeColor="text1"/>
          <w:u w:val="single"/>
        </w:rPr>
        <w:t>Szczegółowy zakres robót/ Usług obejmuje: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 xml:space="preserve">Czyszczenie mechaniczne 13 756 szt. rur kondensatora metodą wodną wysokociśnieniową, ciśnieniem nie niższym niż 100 </w:t>
      </w:r>
      <w:proofErr w:type="spellStart"/>
      <w:r w:rsidRPr="0087497D">
        <w:rPr>
          <w:rFonts w:asciiTheme="minorHAnsi" w:hAnsiTheme="minorHAnsi" w:cstheme="minorHAnsi"/>
        </w:rPr>
        <w:t>MPa</w:t>
      </w:r>
      <w:proofErr w:type="spellEnd"/>
      <w:r w:rsidRPr="0087497D">
        <w:rPr>
          <w:rFonts w:asciiTheme="minorHAnsi" w:hAnsiTheme="minorHAnsi" w:cstheme="minorHAnsi"/>
        </w:rPr>
        <w:t>,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 xml:space="preserve">Zabudowa podestu wewnątrz kondensatorów, 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Wykonanie badań wiroprądowych 13 756 szt. rur na całej długości łącznie z dnami sitowymi,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Ocena i klasyfikacja zebranych wyników, wydanie zaleceń remontowych.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Wykonanie szczegółowych raportów, któr</w:t>
      </w:r>
      <w:r w:rsidR="00C41567">
        <w:rPr>
          <w:rFonts w:asciiTheme="minorHAnsi" w:hAnsiTheme="minorHAnsi" w:cstheme="minorHAnsi"/>
        </w:rPr>
        <w:t xml:space="preserve">e </w:t>
      </w:r>
      <w:r w:rsidRPr="0087497D">
        <w:rPr>
          <w:rFonts w:asciiTheme="minorHAnsi" w:hAnsiTheme="minorHAnsi" w:cstheme="minorHAnsi"/>
        </w:rPr>
        <w:t>powinn</w:t>
      </w:r>
      <w:r w:rsidR="00C41567">
        <w:rPr>
          <w:rFonts w:asciiTheme="minorHAnsi" w:hAnsiTheme="minorHAnsi" w:cstheme="minorHAnsi"/>
        </w:rPr>
        <w:t>y</w:t>
      </w:r>
      <w:r w:rsidRPr="0087497D">
        <w:rPr>
          <w:rFonts w:asciiTheme="minorHAnsi" w:hAnsiTheme="minorHAnsi" w:cstheme="minorHAnsi"/>
        </w:rPr>
        <w:t xml:space="preserve"> zawierać min.:</w:t>
      </w:r>
    </w:p>
    <w:p w:rsidR="0087497D" w:rsidRPr="0087497D" w:rsidRDefault="0087497D" w:rsidP="007609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Lokalizację wad względem den sitowych,</w:t>
      </w:r>
    </w:p>
    <w:p w:rsidR="0087497D" w:rsidRPr="0087497D" w:rsidRDefault="0087497D" w:rsidP="007609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Informacj</w:t>
      </w:r>
      <w:r w:rsidR="00C41567">
        <w:rPr>
          <w:rFonts w:asciiTheme="minorHAnsi" w:hAnsiTheme="minorHAnsi" w:cstheme="minorHAnsi"/>
        </w:rPr>
        <w:t>ę</w:t>
      </w:r>
      <w:r w:rsidRPr="0087497D">
        <w:rPr>
          <w:rFonts w:asciiTheme="minorHAnsi" w:hAnsiTheme="minorHAnsi" w:cstheme="minorHAnsi"/>
        </w:rPr>
        <w:t xml:space="preserve"> czy wada jest po zewnętrznej czy po wewnętrznej stronie rurki</w:t>
      </w:r>
    </w:p>
    <w:p w:rsidR="0087497D" w:rsidRPr="0087497D" w:rsidRDefault="0087497D" w:rsidP="007609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lastRenderedPageBreak/>
        <w:t>Dokładn</w:t>
      </w:r>
      <w:r w:rsidR="00C41567">
        <w:rPr>
          <w:rFonts w:asciiTheme="minorHAnsi" w:hAnsiTheme="minorHAnsi" w:cstheme="minorHAnsi"/>
        </w:rPr>
        <w:t>ą</w:t>
      </w:r>
      <w:r w:rsidRPr="0087497D">
        <w:rPr>
          <w:rFonts w:asciiTheme="minorHAnsi" w:hAnsiTheme="minorHAnsi" w:cstheme="minorHAnsi"/>
        </w:rPr>
        <w:t xml:space="preserve"> wartość liczbow</w:t>
      </w:r>
      <w:r w:rsidR="00C41567">
        <w:rPr>
          <w:rFonts w:asciiTheme="minorHAnsi" w:hAnsiTheme="minorHAnsi" w:cstheme="minorHAnsi"/>
        </w:rPr>
        <w:t>ą</w:t>
      </w:r>
      <w:r w:rsidRPr="0087497D">
        <w:rPr>
          <w:rFonts w:asciiTheme="minorHAnsi" w:hAnsiTheme="minorHAnsi" w:cstheme="minorHAnsi"/>
        </w:rPr>
        <w:t xml:space="preserve"> w procentach ubytku materiałowego ścianki badanej rurki,</w:t>
      </w:r>
    </w:p>
    <w:p w:rsidR="0087497D" w:rsidRPr="0087497D" w:rsidRDefault="0087497D" w:rsidP="007609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Wykazane powinny być wszystkie rodzaje wad a wiec pęknięcia,  ubytki materiałowe, średnie zużycie rur na całej długości i ścienienia lokalne, wgniecenia i wytarcie rur w miejscach wgnieceń.</w:t>
      </w:r>
    </w:p>
    <w:p w:rsidR="0087497D" w:rsidRPr="0087497D" w:rsidRDefault="0087497D" w:rsidP="007609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Dokonać porównań pomierzonych grubości ścianek rur z pomiarami wykonanymi w latach ubiegłych a także stopień degradacji innych wad na przestrzeni ostatnich lat.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Sprawdzenie szczelności rur po czyszczeniu,</w:t>
      </w:r>
    </w:p>
    <w:p w:rsidR="0087497D" w:rsidRP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Zakołkowanie nieszczelnych rur / kołki dostarcza Wykonawca,</w:t>
      </w:r>
    </w:p>
    <w:p w:rsidR="0087497D" w:rsidRDefault="0087497D" w:rsidP="007609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7497D">
        <w:rPr>
          <w:rFonts w:asciiTheme="minorHAnsi" w:hAnsiTheme="minorHAnsi" w:cstheme="minorHAnsi"/>
        </w:rPr>
        <w:t>Usunięcie i utylizacja osadu po czyszczeniu rurek.</w:t>
      </w:r>
    </w:p>
    <w:p w:rsidR="007609D4" w:rsidRDefault="007609D4" w:rsidP="007609D4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7609D4" w:rsidRDefault="007609D4" w:rsidP="007609D4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7609D4" w:rsidRDefault="007609D4" w:rsidP="007609D4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7609D4" w:rsidRDefault="007609D4" w:rsidP="007609D4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7609D4" w:rsidRDefault="007609D4" w:rsidP="007609D4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9B603B" w:rsidRPr="00184D1A" w:rsidRDefault="00286DAB" w:rsidP="007609D4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bCs/>
          <w:color w:val="000000" w:themeColor="text1"/>
          <w:u w:val="single"/>
        </w:rPr>
        <w:t>Założenia</w:t>
      </w:r>
      <w:r w:rsidR="009B603B" w:rsidRPr="00184D1A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i warunki  techniczne dla prawidłowej realizacji zadania:</w:t>
      </w:r>
    </w:p>
    <w:p w:rsidR="007609D4" w:rsidRDefault="007609D4" w:rsidP="007609D4">
      <w:pPr>
        <w:pStyle w:val="Akapitzlist"/>
        <w:spacing w:before="120" w:after="120" w:line="360" w:lineRule="auto"/>
        <w:ind w:left="862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024BBA" w:rsidRPr="00024BBA" w:rsidRDefault="00024BBA" w:rsidP="007609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Zakres prac dla poz. 1 powinien obejmować wszystkie niezbędne czynności przy użyciu myjki wysokociśnieniowej w kondensatorach w celu wykonania prawidłowego czyszczenia rurek i ich badań,</w:t>
      </w:r>
    </w:p>
    <w:p w:rsidR="00024BBA" w:rsidRPr="00024BBA" w:rsidRDefault="00024BBA" w:rsidP="007609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Wymagane jest, aby wszystkie rurki zostały udrożone i przebadane w 100% i na całej długości. Badaniom nie będą podlegały jedynie zakołkowane rurki,</w:t>
      </w:r>
    </w:p>
    <w:p w:rsidR="00024BBA" w:rsidRPr="00024BBA" w:rsidRDefault="00024BBA" w:rsidP="007609D4">
      <w:pPr>
        <w:pStyle w:val="Akapitzlist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Zamawiający za</w:t>
      </w:r>
      <w:r w:rsidR="00C41567">
        <w:rPr>
          <w:rFonts w:asciiTheme="minorHAnsi" w:hAnsiTheme="minorHAnsi" w:cstheme="minorHAnsi"/>
        </w:rPr>
        <w:t>strzega sobie prawo sprawdzenia</w:t>
      </w:r>
      <w:r w:rsidRPr="00024BBA">
        <w:rPr>
          <w:rFonts w:asciiTheme="minorHAnsi" w:hAnsiTheme="minorHAnsi" w:cstheme="minorHAnsi"/>
        </w:rPr>
        <w:t xml:space="preserve"> jakośc</w:t>
      </w:r>
      <w:r w:rsidR="00C41567">
        <w:rPr>
          <w:rFonts w:asciiTheme="minorHAnsi" w:hAnsiTheme="minorHAnsi" w:cstheme="minorHAnsi"/>
        </w:rPr>
        <w:t>i wykonywanych badań, polegające</w:t>
      </w:r>
      <w:r w:rsidRPr="00024BBA">
        <w:rPr>
          <w:rFonts w:asciiTheme="minorHAnsi" w:hAnsiTheme="minorHAnsi" w:cstheme="minorHAnsi"/>
        </w:rPr>
        <w:t xml:space="preserve"> na usunięciu wadliwych rurek z kondensatora i wskazania wad po rozcięciu rurki w </w:t>
      </w:r>
      <w:r w:rsidRPr="00024BBA">
        <w:rPr>
          <w:rFonts w:asciiTheme="minorHAnsi" w:hAnsiTheme="minorHAnsi" w:cstheme="minorHAnsi"/>
        </w:rPr>
        <w:lastRenderedPageBreak/>
        <w:t>ilości do 0,1% wadliwych rurek, dodatkowo część wadliwych rurek będzie sprawdzana za pomocą endoskopu,</w:t>
      </w:r>
    </w:p>
    <w:p w:rsidR="00024BBA" w:rsidRPr="00024BBA" w:rsidRDefault="00024BBA" w:rsidP="007609D4">
      <w:pPr>
        <w:pStyle w:val="Akapitzlist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Prace te będą wykonywane przez Wykonawcę usługi.</w:t>
      </w:r>
    </w:p>
    <w:p w:rsidR="00024BBA" w:rsidRPr="00024BBA" w:rsidRDefault="00024BBA" w:rsidP="007609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Wykonawca usługi posiadał będzie:</w:t>
      </w:r>
    </w:p>
    <w:p w:rsidR="00024BBA" w:rsidRPr="00024BBA" w:rsidRDefault="00024BBA" w:rsidP="007609D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5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Niezbędny sprzęt do wykonania usługi,</w:t>
      </w:r>
    </w:p>
    <w:p w:rsidR="00024BBA" w:rsidRPr="00024BBA" w:rsidRDefault="00024BBA" w:rsidP="007609D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5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Wykwalifikowany personel z odpowiednimi certyfikatami,</w:t>
      </w:r>
    </w:p>
    <w:p w:rsidR="00024BBA" w:rsidRPr="00024BBA" w:rsidRDefault="00024BBA" w:rsidP="007609D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5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Instrukcje wykonywania bezpiecznej pracy ,</w:t>
      </w:r>
    </w:p>
    <w:p w:rsidR="00024BBA" w:rsidRPr="00024BBA" w:rsidRDefault="00024BBA" w:rsidP="007609D4">
      <w:pPr>
        <w:pStyle w:val="Akapitzlist"/>
        <w:numPr>
          <w:ilvl w:val="1"/>
          <w:numId w:val="16"/>
        </w:numPr>
        <w:spacing w:line="360" w:lineRule="auto"/>
        <w:ind w:left="993" w:hanging="285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Aktualne certyfikaty kalibracji sprzętu diagnostycznego do wykonywania badań wiroprądowych,</w:t>
      </w:r>
    </w:p>
    <w:p w:rsidR="00024BBA" w:rsidRPr="00024BBA" w:rsidRDefault="00024BBA" w:rsidP="007609D4">
      <w:pPr>
        <w:pStyle w:val="Akapitzlist"/>
        <w:numPr>
          <w:ilvl w:val="1"/>
          <w:numId w:val="16"/>
        </w:numPr>
        <w:spacing w:after="0" w:line="360" w:lineRule="auto"/>
        <w:ind w:left="993" w:hanging="285"/>
        <w:rPr>
          <w:rFonts w:asciiTheme="minorHAnsi" w:hAnsiTheme="minorHAnsi" w:cstheme="minorHAnsi"/>
        </w:rPr>
      </w:pPr>
      <w:r w:rsidRPr="00024BBA">
        <w:rPr>
          <w:rFonts w:asciiTheme="minorHAnsi" w:hAnsiTheme="minorHAnsi" w:cstheme="minorHAnsi"/>
        </w:rPr>
        <w:t>Certyfikaty sond elektromagnetycznych.</w:t>
      </w:r>
    </w:p>
    <w:p w:rsidR="009B603B" w:rsidRPr="005F4481" w:rsidRDefault="00286DAB" w:rsidP="007609D4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III. </w:t>
      </w:r>
      <w:r w:rsidRPr="00184D1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Warunki </w:t>
      </w:r>
      <w:r w:rsidR="009B603B" w:rsidRPr="00184D1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organizacyjne dla prawidłowej realizacji zadania:</w:t>
      </w:r>
    </w:p>
    <w:p w:rsidR="009B603B" w:rsidRPr="005F4481" w:rsidRDefault="009B603B" w:rsidP="007609D4">
      <w:pPr>
        <w:pStyle w:val="Tekstpodstawowywcity"/>
        <w:numPr>
          <w:ilvl w:val="0"/>
          <w:numId w:val="5"/>
        </w:numPr>
        <w:spacing w:before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9B603B" w:rsidRPr="005F4481" w:rsidRDefault="009B603B" w:rsidP="007609D4">
      <w:pPr>
        <w:pStyle w:val="Tekstpodstawowywcity"/>
        <w:numPr>
          <w:ilvl w:val="0"/>
          <w:numId w:val="5"/>
        </w:numPr>
        <w:spacing w:before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9B603B" w:rsidRPr="005F4481" w:rsidRDefault="009B603B" w:rsidP="007609D4">
      <w:pPr>
        <w:pStyle w:val="Tekstpodstawowywcity"/>
        <w:numPr>
          <w:ilvl w:val="0"/>
          <w:numId w:val="5"/>
        </w:numPr>
        <w:spacing w:before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9B603B" w:rsidRPr="005F4481" w:rsidRDefault="009B603B" w:rsidP="007609D4">
      <w:pPr>
        <w:pStyle w:val="Tekstpodstawowywcity"/>
        <w:numPr>
          <w:ilvl w:val="0"/>
          <w:numId w:val="5"/>
        </w:numPr>
        <w:spacing w:before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Do obowiązków Wykonawcy należy w szczególności:</w:t>
      </w:r>
    </w:p>
    <w:p w:rsidR="009B603B" w:rsidRPr="005F4481" w:rsidRDefault="009B603B" w:rsidP="007609D4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9B603B" w:rsidRPr="005F4481" w:rsidRDefault="009B603B" w:rsidP="007609D4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9B603B" w:rsidRPr="005F4481" w:rsidRDefault="009B603B" w:rsidP="007609D4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9B603B" w:rsidRPr="005F4481" w:rsidRDefault="009B603B" w:rsidP="007609D4">
      <w:pPr>
        <w:pStyle w:val="Tekstpodstawowywcity"/>
        <w:numPr>
          <w:ilvl w:val="1"/>
          <w:numId w:val="5"/>
        </w:numPr>
        <w:tabs>
          <w:tab w:val="clear" w:pos="928"/>
          <w:tab w:val="num" w:pos="1134"/>
        </w:tabs>
        <w:spacing w:before="0"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9B603B" w:rsidRPr="00184D1A" w:rsidRDefault="009B603B" w:rsidP="007609D4">
      <w:pPr>
        <w:pStyle w:val="Tekstpodstawowywcity"/>
        <w:numPr>
          <w:ilvl w:val="0"/>
          <w:numId w:val="5"/>
        </w:numPr>
        <w:spacing w:before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4D1A">
        <w:rPr>
          <w:rFonts w:asciiTheme="minorHAnsi" w:hAnsiTheme="minorHAnsi" w:cstheme="minorHAnsi"/>
          <w:color w:val="000000" w:themeColor="text1"/>
          <w:sz w:val="22"/>
          <w:szCs w:val="22"/>
        </w:rPr>
        <w:t>Wymagany przez Zamawiającego okres gwarancji na wykonane prace powinien wynosić minimum 12 miesięcy licząc od daty odbioru końcowego.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line="480" w:lineRule="auto"/>
        <w:jc w:val="both"/>
        <w:rPr>
          <w:rFonts w:asciiTheme="minorHAnsi" w:hAnsiTheme="minorHAnsi" w:cstheme="minorHAnsi"/>
          <w:b/>
          <w:u w:val="single"/>
        </w:rPr>
      </w:pPr>
      <w:r w:rsidRPr="00184D1A">
        <w:rPr>
          <w:rFonts w:asciiTheme="minorHAnsi" w:hAnsiTheme="minorHAnsi" w:cstheme="minorHAnsi"/>
          <w:b/>
          <w:u w:val="single"/>
        </w:rPr>
        <w:t>WYNAGRODZENIE I WARUNKI PŁATNOŚCI</w:t>
      </w:r>
    </w:p>
    <w:p w:rsidR="009B603B" w:rsidRPr="00184D1A" w:rsidRDefault="009B603B" w:rsidP="007609D4">
      <w:pPr>
        <w:pStyle w:val="Akapitzlist"/>
        <w:numPr>
          <w:ilvl w:val="1"/>
          <w:numId w:val="6"/>
        </w:num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184D1A">
        <w:rPr>
          <w:rFonts w:asciiTheme="minorHAnsi" w:hAnsiTheme="minorHAnsi" w:cstheme="minorHAnsi"/>
        </w:rPr>
        <w:t>Wynagrodzenie ryczałtowe  za realizacj</w:t>
      </w:r>
      <w:r w:rsidR="00EF6B00" w:rsidRPr="00184D1A">
        <w:rPr>
          <w:rFonts w:asciiTheme="minorHAnsi" w:hAnsiTheme="minorHAnsi" w:cstheme="minorHAnsi"/>
        </w:rPr>
        <w:t>ę</w:t>
      </w:r>
      <w:r w:rsidRPr="00184D1A">
        <w:rPr>
          <w:rFonts w:asciiTheme="minorHAnsi" w:hAnsiTheme="minorHAnsi" w:cstheme="minorHAnsi"/>
        </w:rPr>
        <w:t xml:space="preserve"> usługi z podziałem na odrębne przedmioty odbioru i rozliczeń</w:t>
      </w:r>
      <w:r w:rsidR="00EF6B00" w:rsidRPr="00184D1A">
        <w:rPr>
          <w:rFonts w:asciiTheme="minorHAnsi" w:hAnsiTheme="minorHAnsi" w:cstheme="minorHAnsi"/>
        </w:rPr>
        <w:t xml:space="preserve"> za każdy blok</w:t>
      </w:r>
      <w:r w:rsidR="00574785" w:rsidRPr="00184D1A">
        <w:rPr>
          <w:rFonts w:asciiTheme="minorHAnsi" w:hAnsiTheme="minorHAnsi" w:cstheme="minorHAnsi"/>
        </w:rPr>
        <w:t xml:space="preserve"> </w:t>
      </w:r>
      <w:r w:rsidR="00EF6B00" w:rsidRPr="00184D1A">
        <w:rPr>
          <w:rFonts w:asciiTheme="minorHAnsi" w:hAnsiTheme="minorHAnsi" w:cstheme="minorHAnsi"/>
        </w:rPr>
        <w:t>z osobna</w:t>
      </w:r>
      <w:r w:rsidRPr="00184D1A">
        <w:rPr>
          <w:rFonts w:asciiTheme="minorHAnsi" w:hAnsiTheme="minorHAnsi" w:cstheme="minorHAnsi"/>
        </w:rPr>
        <w:t>,</w:t>
      </w:r>
    </w:p>
    <w:p w:rsidR="00286DAB" w:rsidRPr="00184D1A" w:rsidRDefault="009B603B" w:rsidP="00286DAB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84D1A">
        <w:rPr>
          <w:rFonts w:asciiTheme="minorHAnsi" w:hAnsiTheme="minorHAnsi" w:cstheme="minorHAnsi"/>
          <w:b/>
          <w:u w:val="single"/>
        </w:rPr>
        <w:t>TERMIN WYKONANIA</w:t>
      </w:r>
      <w:r w:rsidR="00286DAB" w:rsidRPr="00184D1A">
        <w:rPr>
          <w:rFonts w:asciiTheme="minorHAnsi" w:hAnsiTheme="minorHAnsi" w:cstheme="minorHAnsi"/>
          <w:b/>
          <w:u w:val="single"/>
        </w:rPr>
        <w:t xml:space="preserve"> USŁUGI:</w:t>
      </w:r>
    </w:p>
    <w:p w:rsidR="00286DAB" w:rsidRPr="003F05E1" w:rsidRDefault="00286DAB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lastRenderedPageBreak/>
        <w:t>Usługi będą wykonywane zgodnie z harmonogramem remontu bloku – wstępny harmonogram remontu bloku stanowi załącznik nr 1 do Umowy.</w:t>
      </w:r>
    </w:p>
    <w:p w:rsidR="00286DAB" w:rsidRPr="003F05E1" w:rsidRDefault="00286DAB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 xml:space="preserve">Dokładny termin rozpoczęcia i zakończenia prac na poszczególnych blokach zostanie podany przez Zamawiającego e-mailem na adres wskazany </w:t>
      </w:r>
      <w:r w:rsidR="00FC22D1">
        <w:rPr>
          <w:rFonts w:asciiTheme="minorHAnsi" w:hAnsiTheme="minorHAnsi" w:cstheme="minorHAnsi"/>
          <w:color w:val="000000" w:themeColor="text1"/>
        </w:rPr>
        <w:t>przez Wykonawcę</w:t>
      </w:r>
      <w:r w:rsidRPr="003F05E1">
        <w:rPr>
          <w:rFonts w:asciiTheme="minorHAnsi" w:hAnsiTheme="minorHAnsi" w:cstheme="minorHAnsi"/>
          <w:color w:val="000000" w:themeColor="text1"/>
        </w:rPr>
        <w:t xml:space="preserve"> – najpóźniej na 2 tygodnie przed ich rozpoczęciem</w:t>
      </w:r>
    </w:p>
    <w:p w:rsidR="00286DAB" w:rsidRPr="003F05E1" w:rsidRDefault="00286DAB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>Czas realizacji prac na pos</w:t>
      </w:r>
      <w:r w:rsidR="00C41567">
        <w:rPr>
          <w:rFonts w:asciiTheme="minorHAnsi" w:hAnsiTheme="minorHAnsi" w:cstheme="minorHAnsi"/>
          <w:color w:val="000000" w:themeColor="text1"/>
        </w:rPr>
        <w:t>zczególnych blokach nie może p</w:t>
      </w:r>
      <w:r w:rsidRPr="003F05E1">
        <w:rPr>
          <w:rFonts w:asciiTheme="minorHAnsi" w:hAnsiTheme="minorHAnsi" w:cstheme="minorHAnsi"/>
          <w:color w:val="000000" w:themeColor="text1"/>
        </w:rPr>
        <w:t>rzekroczyć 30 dni.</w:t>
      </w:r>
    </w:p>
    <w:p w:rsidR="00286DAB" w:rsidRPr="003F05E1" w:rsidRDefault="00286DAB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>Dostarczenie wstępnych wyni</w:t>
      </w:r>
      <w:r w:rsidR="00B202E9" w:rsidRPr="003F05E1">
        <w:rPr>
          <w:rFonts w:asciiTheme="minorHAnsi" w:hAnsiTheme="minorHAnsi" w:cstheme="minorHAnsi"/>
          <w:color w:val="000000" w:themeColor="text1"/>
        </w:rPr>
        <w:t>ków badań Zamawiającemu nastąpi</w:t>
      </w:r>
      <w:r w:rsidRPr="003F05E1">
        <w:rPr>
          <w:rFonts w:asciiTheme="minorHAnsi" w:hAnsiTheme="minorHAnsi" w:cstheme="minorHAnsi"/>
          <w:color w:val="000000" w:themeColor="text1"/>
        </w:rPr>
        <w:t>:</w:t>
      </w:r>
    </w:p>
    <w:p w:rsidR="00286DAB" w:rsidRPr="003F05E1" w:rsidRDefault="00286DAB" w:rsidP="00286DAB">
      <w:pPr>
        <w:pStyle w:val="Akapitzlist"/>
        <w:numPr>
          <w:ilvl w:val="2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>w ciągu 3 dni od zakończenia prac na b</w:t>
      </w:r>
      <w:r w:rsidR="00390E83" w:rsidRPr="003F05E1">
        <w:rPr>
          <w:rFonts w:asciiTheme="minorHAnsi" w:hAnsiTheme="minorHAnsi" w:cstheme="minorHAnsi"/>
          <w:color w:val="000000" w:themeColor="text1"/>
        </w:rPr>
        <w:t>lokach</w:t>
      </w:r>
      <w:r w:rsidR="00B202E9" w:rsidRPr="003F05E1">
        <w:rPr>
          <w:rFonts w:asciiTheme="minorHAnsi" w:hAnsiTheme="minorHAnsi" w:cstheme="minorHAnsi"/>
          <w:color w:val="000000" w:themeColor="text1"/>
        </w:rPr>
        <w:t xml:space="preserve"> 3, 4, 9</w:t>
      </w:r>
    </w:p>
    <w:p w:rsidR="00286DAB" w:rsidRPr="003F05E1" w:rsidRDefault="00286DAB" w:rsidP="00286DAB">
      <w:pPr>
        <w:pStyle w:val="Akapitzlist"/>
        <w:numPr>
          <w:ilvl w:val="2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>w ciągu 6 dni od zakończenia prac na blokach</w:t>
      </w:r>
      <w:r w:rsidR="00B202E9" w:rsidRPr="003F05E1">
        <w:rPr>
          <w:rFonts w:asciiTheme="minorHAnsi" w:hAnsiTheme="minorHAnsi" w:cstheme="minorHAnsi"/>
          <w:color w:val="000000" w:themeColor="text1"/>
        </w:rPr>
        <w:t xml:space="preserve"> 2, 6, 7</w:t>
      </w:r>
    </w:p>
    <w:p w:rsidR="00286DAB" w:rsidRDefault="00286DAB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05E1">
        <w:rPr>
          <w:rFonts w:asciiTheme="minorHAnsi" w:hAnsiTheme="minorHAnsi" w:cstheme="minorHAnsi"/>
          <w:color w:val="000000" w:themeColor="text1"/>
        </w:rPr>
        <w:t>Dostarczenie raportów z badań nastąpi w ciągu 21 dni od zakończenia prac na poszczególnych blokach.</w:t>
      </w:r>
    </w:p>
    <w:p w:rsidR="00FC22D1" w:rsidRPr="003F05E1" w:rsidRDefault="00FC22D1" w:rsidP="00286DAB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Osoba odpowiedzialna ze strony Zamawiającego</w:t>
      </w:r>
      <w:r w:rsidR="00C3252E">
        <w:rPr>
          <w:rFonts w:asciiTheme="minorHAnsi" w:hAnsiTheme="minorHAnsi" w:cstheme="minorHAnsi"/>
          <w:color w:val="000000" w:themeColor="text1"/>
        </w:rPr>
        <w:t xml:space="preserve"> Michał Lampart e-mail: </w:t>
      </w:r>
      <w:hyperlink r:id="rId5" w:history="1">
        <w:r w:rsidR="00C3252E" w:rsidRPr="00DD56D2">
          <w:rPr>
            <w:rStyle w:val="Hipercze"/>
            <w:rFonts w:asciiTheme="minorHAnsi" w:hAnsiTheme="minorHAnsi" w:cstheme="minorHAnsi"/>
          </w:rPr>
          <w:t>michal.lampart@enea.pl</w:t>
        </w:r>
      </w:hyperlink>
      <w:r w:rsidR="00C3252E">
        <w:rPr>
          <w:rFonts w:asciiTheme="minorHAnsi" w:hAnsiTheme="minorHAnsi" w:cstheme="minorHAnsi"/>
          <w:color w:val="000000" w:themeColor="text1"/>
        </w:rPr>
        <w:t xml:space="preserve"> tel. 15 865 6483</w:t>
      </w:r>
    </w:p>
    <w:p w:rsidR="00286DAB" w:rsidRPr="007872C4" w:rsidRDefault="00286DAB" w:rsidP="00286DAB">
      <w:pPr>
        <w:pStyle w:val="Akapitzlist"/>
        <w:suppressAutoHyphens/>
        <w:spacing w:before="120" w:after="0" w:line="360" w:lineRule="auto"/>
        <w:ind w:left="1065"/>
        <w:jc w:val="both"/>
      </w:pP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480" w:lineRule="auto"/>
        <w:jc w:val="both"/>
        <w:rPr>
          <w:b/>
          <w:u w:val="single"/>
        </w:rPr>
      </w:pPr>
      <w:bookmarkStart w:id="0" w:name="_GoBack"/>
      <w:bookmarkEnd w:id="0"/>
      <w:r w:rsidRPr="00184D1A">
        <w:rPr>
          <w:b/>
          <w:u w:val="single"/>
        </w:rPr>
        <w:t>ORGANIZACJA REALIZACJI PRAC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6" w:history="1">
        <w:r w:rsidRPr="005F4481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Pr="005F4481">
        <w:rPr>
          <w:rFonts w:asciiTheme="minorHAnsi" w:hAnsiTheme="minorHAnsi" w:cstheme="minorHAnsi"/>
          <w:color w:val="000000" w:themeColor="text1"/>
        </w:rPr>
        <w:t>.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left="1134" w:firstLine="0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left="1134" w:firstLine="0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left="1134" w:firstLine="0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lastRenderedPageBreak/>
        <w:t xml:space="preserve">Dokumenty wymienione w pkt. </w:t>
      </w:r>
      <w:r w:rsidR="00FC22D1">
        <w:rPr>
          <w:rFonts w:asciiTheme="minorHAnsi" w:hAnsiTheme="minorHAnsi" w:cstheme="minorHAnsi"/>
          <w:color w:val="000000" w:themeColor="text1"/>
          <w:u w:val="single"/>
        </w:rPr>
        <w:t>VIII</w:t>
      </w:r>
      <w:r w:rsidR="00574785" w:rsidRPr="00184D1A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FC22D1" w:rsidRPr="00AC2213">
        <w:rPr>
          <w:rFonts w:asciiTheme="minorHAnsi" w:hAnsiTheme="minorHAnsi" w:cstheme="minorHAnsi"/>
          <w:color w:val="000000" w:themeColor="text1"/>
          <w:u w:val="single"/>
        </w:rPr>
        <w:t>–</w:t>
      </w:r>
      <w:r w:rsidR="00FC22D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74785" w:rsidRPr="00184D1A">
        <w:rPr>
          <w:rFonts w:asciiTheme="minorHAnsi" w:hAnsiTheme="minorHAnsi" w:cstheme="minorHAnsi"/>
          <w:color w:val="000000" w:themeColor="text1"/>
          <w:u w:val="single"/>
        </w:rPr>
        <w:t>A 7</w:t>
      </w:r>
      <w:r w:rsidRPr="005F4481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left="1134" w:firstLine="0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FC22D1">
        <w:rPr>
          <w:rFonts w:asciiTheme="minorHAnsi" w:hAnsiTheme="minorHAnsi" w:cstheme="minorHAnsi"/>
          <w:color w:val="000000" w:themeColor="text1"/>
          <w:u w:val="single"/>
        </w:rPr>
        <w:t>VIII</w:t>
      </w:r>
      <w:r w:rsidR="00FC22D1" w:rsidRPr="00184D1A">
        <w:rPr>
          <w:rFonts w:asciiTheme="minorHAnsi" w:hAnsiTheme="minorHAnsi" w:cstheme="minorHAnsi"/>
          <w:color w:val="000000" w:themeColor="text1"/>
          <w:u w:val="single"/>
        </w:rPr>
        <w:t xml:space="preserve"> – A 1-5</w:t>
      </w:r>
      <w:r w:rsidRPr="005F4481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Wykonawca  zabezpieczy: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hanging="854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9B603B" w:rsidRPr="005F4481" w:rsidRDefault="009B603B" w:rsidP="007609D4">
      <w:pPr>
        <w:pStyle w:val="Akapitzlist"/>
        <w:numPr>
          <w:ilvl w:val="2"/>
          <w:numId w:val="6"/>
        </w:numPr>
        <w:spacing w:after="160" w:line="360" w:lineRule="auto"/>
        <w:ind w:hanging="854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ind w:left="499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Wykonawca  będzie świadczył Usługi zgodnie z:</w:t>
      </w:r>
    </w:p>
    <w:p w:rsidR="009B603B" w:rsidRPr="00184D1A" w:rsidRDefault="009B603B" w:rsidP="007609D4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Ustawą Prawo budowlane,</w:t>
      </w:r>
    </w:p>
    <w:p w:rsidR="009B603B" w:rsidRPr="00184D1A" w:rsidRDefault="009B603B" w:rsidP="007609D4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9B603B" w:rsidRPr="00184D1A" w:rsidRDefault="009B603B" w:rsidP="007609D4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9B603B" w:rsidRPr="00184D1A" w:rsidRDefault="009B603B" w:rsidP="007609D4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Ustawą o odpadach,</w:t>
      </w:r>
    </w:p>
    <w:p w:rsidR="009B603B" w:rsidRPr="00184D1A" w:rsidRDefault="009B603B" w:rsidP="007609D4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60" w:lineRule="auto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MIEJSCE ŚWIADCZENIA USŁUG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lastRenderedPageBreak/>
        <w:t xml:space="preserve">Strony uzgadniają, że Miejscem świadczenia Usług będzie teren Elektrowni Zamawiającego w Zawadzie 26, 28-230 Połaniec. 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RAPORTY I ODBIORY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p w:rsidR="009B603B" w:rsidRPr="005F4481" w:rsidRDefault="009B603B" w:rsidP="007609D4">
      <w:pPr>
        <w:pStyle w:val="Akapitzlist"/>
        <w:spacing w:after="160" w:line="360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418" w:type="dxa"/>
            <w:vAlign w:val="center"/>
          </w:tcPr>
          <w:p w:rsidR="009B603B" w:rsidRPr="005F4481" w:rsidRDefault="009B603B" w:rsidP="007609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9B603B" w:rsidRPr="005F4481" w:rsidRDefault="009B603B" w:rsidP="007609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 realizowaną umową rynkową, zawierający prognozę : rodzaju odpadów, ilości oraz planowanych sposobach ich zagospodarowania (Załącznik Z-2)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9B603B" w:rsidRPr="005F4481" w:rsidRDefault="009B603B" w:rsidP="007609D4">
            <w:pPr>
              <w:spacing w:after="200" w:line="360" w:lineRule="auto"/>
              <w:ind w:left="284" w:hanging="250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9B603B" w:rsidRPr="005F4481" w:rsidRDefault="009B603B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:rsidR="009B603B" w:rsidRPr="005F4481" w:rsidDel="001C5765" w:rsidRDefault="00473AF6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X 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9B603B" w:rsidRPr="005F4481" w:rsidRDefault="009B603B" w:rsidP="00CB316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  <w:r w:rsidR="00EF6B0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jeśli zaistnieje taka potrzeba</w:t>
            </w:r>
            <w:r w:rsidR="00CB31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 Wymaga wprowadzenia aneksu do umowy.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9B603B" w:rsidRPr="005F4481" w:rsidRDefault="009B603B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9B603B" w:rsidRPr="005F4481" w:rsidRDefault="009B603B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9B603B" w:rsidRPr="005F4481" w:rsidRDefault="009B603B" w:rsidP="007609D4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B603B" w:rsidRPr="005F4481" w:rsidTr="00412841">
        <w:trPr>
          <w:trHeight w:val="340"/>
        </w:trPr>
        <w:tc>
          <w:tcPr>
            <w:tcW w:w="851" w:type="dxa"/>
            <w:vAlign w:val="center"/>
          </w:tcPr>
          <w:p w:rsidR="009B603B" w:rsidRPr="005F4481" w:rsidRDefault="009B603B" w:rsidP="007609D4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CB316B" w:rsidRDefault="00CB316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Wykonanie szczegółowych raportów</w:t>
            </w:r>
            <w:r>
              <w:rPr>
                <w:rFonts w:asciiTheme="minorHAnsi" w:hAnsiTheme="minorHAnsi" w:cstheme="minorHAnsi"/>
              </w:rPr>
              <w:t xml:space="preserve"> dla każdego z kondensatorów zawierającego min.</w:t>
            </w:r>
          </w:p>
          <w:p w:rsidR="00CB316B" w:rsidRPr="0087497D" w:rsidRDefault="00CB316B" w:rsidP="00CB316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Lokalizację wad względem den sitowych,</w:t>
            </w:r>
          </w:p>
          <w:p w:rsidR="00CB316B" w:rsidRPr="0087497D" w:rsidRDefault="00CB316B" w:rsidP="00CB316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Informacj</w:t>
            </w:r>
            <w:r>
              <w:rPr>
                <w:rFonts w:asciiTheme="minorHAnsi" w:hAnsiTheme="minorHAnsi" w:cstheme="minorHAnsi"/>
              </w:rPr>
              <w:t>ę</w:t>
            </w:r>
            <w:r w:rsidRPr="0087497D">
              <w:rPr>
                <w:rFonts w:asciiTheme="minorHAnsi" w:hAnsiTheme="minorHAnsi" w:cstheme="minorHAnsi"/>
              </w:rPr>
              <w:t xml:space="preserve"> czy wada jest po zewnętrznej czy po wewnętrznej stronie rurki</w:t>
            </w:r>
          </w:p>
          <w:p w:rsidR="00CB316B" w:rsidRPr="0087497D" w:rsidRDefault="00CB316B" w:rsidP="00CB316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Dokładn</w:t>
            </w:r>
            <w:r>
              <w:rPr>
                <w:rFonts w:asciiTheme="minorHAnsi" w:hAnsiTheme="minorHAnsi" w:cstheme="minorHAnsi"/>
              </w:rPr>
              <w:t>ą</w:t>
            </w:r>
            <w:r w:rsidRPr="0087497D">
              <w:rPr>
                <w:rFonts w:asciiTheme="minorHAnsi" w:hAnsiTheme="minorHAnsi" w:cstheme="minorHAnsi"/>
              </w:rPr>
              <w:t xml:space="preserve"> wartość liczbow</w:t>
            </w:r>
            <w:r>
              <w:rPr>
                <w:rFonts w:asciiTheme="minorHAnsi" w:hAnsiTheme="minorHAnsi" w:cstheme="minorHAnsi"/>
              </w:rPr>
              <w:t>ą</w:t>
            </w:r>
            <w:r w:rsidRPr="0087497D">
              <w:rPr>
                <w:rFonts w:asciiTheme="minorHAnsi" w:hAnsiTheme="minorHAnsi" w:cstheme="minorHAnsi"/>
              </w:rPr>
              <w:t xml:space="preserve"> w procentach ubytku materiałowego ścianki badanej rurki,</w:t>
            </w:r>
          </w:p>
          <w:p w:rsidR="00CB316B" w:rsidRPr="0087497D" w:rsidRDefault="00CB316B" w:rsidP="00CB316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Wykazane powinny być wszystkie rodzaje wad a wiec pęknięcia,  ubytki materiałowe, średnie zużycie rur na całej długości i ścienienia lokalne, wgniecenia i wytarcie rur w miejscach wgnieceń.</w:t>
            </w:r>
          </w:p>
          <w:p w:rsidR="00CB316B" w:rsidRPr="0087497D" w:rsidRDefault="00CB316B" w:rsidP="00CB316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87497D">
              <w:rPr>
                <w:rFonts w:asciiTheme="minorHAnsi" w:hAnsiTheme="minorHAnsi" w:cstheme="minorHAnsi"/>
              </w:rPr>
              <w:t>Dokonać porównań pomierzonych grubości ścianek rur z pomiarami wykonanymi w latach ubiegłych a także stopień degradacji innych wad na przestrzeni ostatnich lat.</w:t>
            </w:r>
          </w:p>
          <w:p w:rsidR="00CB316B" w:rsidRDefault="00CB316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9B603B" w:rsidRPr="005F4481" w:rsidRDefault="009B603B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9B603B" w:rsidRPr="005F4481" w:rsidRDefault="009B603B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4785" w:rsidRPr="005F4481" w:rsidTr="00412841">
        <w:trPr>
          <w:trHeight w:val="340"/>
        </w:trPr>
        <w:tc>
          <w:tcPr>
            <w:tcW w:w="851" w:type="dxa"/>
            <w:vAlign w:val="center"/>
          </w:tcPr>
          <w:p w:rsidR="00574785" w:rsidRPr="005F4481" w:rsidRDefault="00574785" w:rsidP="007609D4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74785" w:rsidRPr="005F4481" w:rsidRDefault="00574785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74785" w:rsidRPr="005F4481" w:rsidRDefault="00574785" w:rsidP="007609D4">
            <w:pPr>
              <w:tabs>
                <w:tab w:val="left" w:pos="450"/>
                <w:tab w:val="center" w:pos="530"/>
              </w:tabs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74785" w:rsidRPr="005F4481" w:rsidRDefault="00574785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4785" w:rsidRPr="005F4481" w:rsidTr="00412841">
        <w:trPr>
          <w:trHeight w:val="341"/>
        </w:trPr>
        <w:tc>
          <w:tcPr>
            <w:tcW w:w="851" w:type="dxa"/>
            <w:vAlign w:val="center"/>
          </w:tcPr>
          <w:p w:rsidR="00574785" w:rsidRPr="005F4481" w:rsidRDefault="00574785" w:rsidP="007609D4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74785" w:rsidRPr="005F4481" w:rsidRDefault="00574785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 w:rsidDel="00CB31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418" w:type="dxa"/>
          </w:tcPr>
          <w:p w:rsidR="00574785" w:rsidRPr="005F4481" w:rsidRDefault="00574785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 w:rsidDel="00CB316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74785" w:rsidRPr="005F4481" w:rsidRDefault="00574785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4785" w:rsidRPr="005F4481" w:rsidTr="00412841">
        <w:trPr>
          <w:trHeight w:val="340"/>
        </w:trPr>
        <w:tc>
          <w:tcPr>
            <w:tcW w:w="851" w:type="dxa"/>
            <w:vAlign w:val="center"/>
          </w:tcPr>
          <w:p w:rsidR="00574785" w:rsidRPr="005F4481" w:rsidRDefault="00574785" w:rsidP="007609D4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74785" w:rsidRPr="005F4481" w:rsidRDefault="00574785" w:rsidP="007609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74785" w:rsidRPr="005F4481" w:rsidRDefault="00574785" w:rsidP="007609D4">
            <w:pPr>
              <w:spacing w:after="20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418" w:type="dxa"/>
          </w:tcPr>
          <w:p w:rsidR="00574785" w:rsidRPr="005F4481" w:rsidRDefault="00574785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F4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74785" w:rsidRPr="005F4481" w:rsidRDefault="00574785" w:rsidP="007609D4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9B603B" w:rsidRDefault="009B603B" w:rsidP="007609D4">
      <w:pPr>
        <w:pStyle w:val="Akapitzlist"/>
        <w:suppressAutoHyphens/>
        <w:spacing w:before="120" w:after="0" w:line="360" w:lineRule="auto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8" w:name="_Toc490807360"/>
    </w:p>
    <w:p w:rsidR="00FC22D1" w:rsidRPr="005F4481" w:rsidRDefault="00FC22D1" w:rsidP="007609D4">
      <w:pPr>
        <w:pStyle w:val="Akapitzlist"/>
        <w:suppressAutoHyphens/>
        <w:spacing w:before="120" w:after="0" w:line="360" w:lineRule="auto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REGULACJE PRAWNE,P</w:t>
      </w:r>
      <w:bookmarkEnd w:id="8"/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RZEPISY I NORMY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9B603B" w:rsidRPr="005F4481" w:rsidRDefault="009B603B" w:rsidP="007609D4">
      <w:pPr>
        <w:pStyle w:val="Akapitzlist"/>
        <w:spacing w:after="160" w:line="360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"/>
    <w:bookmarkEnd w:id="2"/>
    <w:bookmarkEnd w:id="3"/>
    <w:bookmarkEnd w:id="4"/>
    <w:bookmarkEnd w:id="5"/>
    <w:bookmarkEnd w:id="6"/>
    <w:bookmarkEnd w:id="7"/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 xml:space="preserve">Wizja  lokalna </w:t>
      </w:r>
    </w:p>
    <w:p w:rsidR="009B603B" w:rsidRPr="005F4481" w:rsidRDefault="009B603B" w:rsidP="007609D4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Zamawiający</w:t>
      </w:r>
      <w:r w:rsidR="00822627">
        <w:rPr>
          <w:rFonts w:asciiTheme="minorHAnsi" w:hAnsiTheme="minorHAnsi" w:cstheme="minorHAnsi"/>
          <w:color w:val="000000" w:themeColor="text1"/>
        </w:rPr>
        <w:t xml:space="preserve"> nie przewiduje  wizji  lokalnej  w  miejscu  planowanych robót.</w:t>
      </w: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Załączniki do SIWZ:</w:t>
      </w:r>
    </w:p>
    <w:p w:rsidR="009B603B" w:rsidRPr="00184D1A" w:rsidRDefault="009B603B" w:rsidP="007609D4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>Załącznik nr 1 do SIWZ - Mapa terenu Elektrown</w:t>
      </w:r>
      <w:r w:rsidR="00473AF6" w:rsidRPr="00184D1A">
        <w:rPr>
          <w:rFonts w:asciiTheme="minorHAnsi" w:hAnsiTheme="minorHAnsi" w:cstheme="minorHAnsi"/>
          <w:color w:val="000000" w:themeColor="text1"/>
        </w:rPr>
        <w:t>i</w:t>
      </w:r>
    </w:p>
    <w:p w:rsidR="00473AF6" w:rsidRPr="00184D1A" w:rsidRDefault="00473AF6" w:rsidP="00473AF6">
      <w:pPr>
        <w:pStyle w:val="Akapitzlist"/>
        <w:numPr>
          <w:ilvl w:val="1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D1A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574785" w:rsidRPr="00184D1A">
        <w:rPr>
          <w:rFonts w:asciiTheme="minorHAnsi" w:hAnsiTheme="minorHAnsi" w:cstheme="minorHAnsi"/>
          <w:color w:val="000000" w:themeColor="text1"/>
        </w:rPr>
        <w:t>2</w:t>
      </w:r>
      <w:r w:rsidR="00574785" w:rsidRPr="00184D1A">
        <w:rPr>
          <w:rFonts w:asciiTheme="minorHAnsi" w:hAnsiTheme="minorHAnsi" w:cstheme="minorHAnsi"/>
          <w:color w:val="000000" w:themeColor="text1"/>
        </w:rPr>
        <w:t xml:space="preserve"> </w:t>
      </w:r>
      <w:r w:rsidRPr="00184D1A">
        <w:rPr>
          <w:rFonts w:asciiTheme="minorHAnsi" w:hAnsiTheme="minorHAnsi" w:cstheme="minorHAnsi"/>
          <w:color w:val="000000" w:themeColor="text1"/>
        </w:rPr>
        <w:t>do SIWZ - Harmonogram postojów remontowych bloków elektrowni Połaniec</w:t>
      </w:r>
    </w:p>
    <w:p w:rsidR="009B603B" w:rsidRPr="005F4481" w:rsidRDefault="009B603B" w:rsidP="007609D4">
      <w:pPr>
        <w:pStyle w:val="Akapitzlist"/>
        <w:suppressAutoHyphens/>
        <w:spacing w:before="120" w:after="0" w:line="360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9B603B" w:rsidRPr="00184D1A" w:rsidRDefault="009B603B" w:rsidP="007609D4">
      <w:pPr>
        <w:pStyle w:val="Akapitzlist"/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84D1A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Dokumenty </w:t>
      </w:r>
      <w:r w:rsidRPr="00184D1A">
        <w:rPr>
          <w:rFonts w:asciiTheme="minorHAnsi" w:hAnsiTheme="minorHAnsi" w:cstheme="minorHAnsi"/>
          <w:b/>
          <w:color w:val="000000" w:themeColor="text1"/>
          <w:u w:val="single"/>
        </w:rPr>
        <w:t>właściwe dla ENEA POŁANIEC S.A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Ogólne Warunki Zakupu Usług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Postępowania z Odpadami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 xml:space="preserve">Instrukcja </w:t>
      </w:r>
      <w:proofErr w:type="spellStart"/>
      <w:r w:rsidRPr="005F4481">
        <w:rPr>
          <w:rFonts w:asciiTheme="minorHAnsi" w:hAnsiTheme="minorHAnsi" w:cstheme="minorHAnsi"/>
          <w:color w:val="000000" w:themeColor="text1"/>
        </w:rPr>
        <w:t>Przepustkowa</w:t>
      </w:r>
      <w:proofErr w:type="spellEnd"/>
      <w:r w:rsidRPr="005F4481">
        <w:rPr>
          <w:rFonts w:asciiTheme="minorHAnsi" w:hAnsiTheme="minorHAnsi" w:cstheme="minorHAnsi"/>
          <w:color w:val="000000" w:themeColor="text1"/>
        </w:rPr>
        <w:t xml:space="preserve"> dla Ruchu materiałowego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:rsidR="009B603B" w:rsidRPr="005F4481" w:rsidRDefault="009B603B" w:rsidP="00C41567">
      <w:pPr>
        <w:pStyle w:val="Akapitzlist"/>
        <w:numPr>
          <w:ilvl w:val="1"/>
          <w:numId w:val="6"/>
        </w:numPr>
        <w:suppressAutoHyphens/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5F4481">
        <w:rPr>
          <w:rFonts w:asciiTheme="minorHAnsi" w:hAnsiTheme="minorHAnsi" w:cstheme="minorHAnsi"/>
          <w:color w:val="000000" w:themeColor="text1"/>
        </w:rPr>
        <w:t>Zmiana adresu dostarczania dokumentów zobowiązaniowych</w:t>
      </w:r>
    </w:p>
    <w:p w:rsidR="009B603B" w:rsidRPr="005F4481" w:rsidRDefault="009B603B" w:rsidP="007872C4">
      <w:pPr>
        <w:pStyle w:val="NormalnyWeb"/>
        <w:shd w:val="clear" w:color="auto" w:fill="FFFFFF"/>
        <w:spacing w:before="0" w:beforeAutospacing="0" w:line="360" w:lineRule="auto"/>
        <w:ind w:left="1065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48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ostępne</w:t>
      </w:r>
      <w:r w:rsidR="007872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Pr="005F448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5F44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B603B" w:rsidRPr="005F4481" w:rsidRDefault="009B603B" w:rsidP="007609D4">
      <w:pPr>
        <w:spacing w:after="16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B603B" w:rsidRDefault="009B603B" w:rsidP="007609D4">
      <w:pPr>
        <w:spacing w:after="16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03B" w:rsidRDefault="009B603B" w:rsidP="007609D4">
      <w:pPr>
        <w:spacing w:after="16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03B" w:rsidRDefault="009B603B" w:rsidP="007609D4">
      <w:pPr>
        <w:spacing w:after="16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03B" w:rsidRPr="002B10AF" w:rsidRDefault="009B603B" w:rsidP="007609D4">
      <w:pPr>
        <w:spacing w:after="16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82A0C" w:rsidRDefault="00E82A0C" w:rsidP="007609D4">
      <w:pPr>
        <w:spacing w:line="360" w:lineRule="auto"/>
      </w:pPr>
    </w:p>
    <w:sectPr w:rsidR="00E8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3306"/>
    <w:multiLevelType w:val="hybridMultilevel"/>
    <w:tmpl w:val="A0268092"/>
    <w:lvl w:ilvl="0" w:tplc="9072F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7B520E"/>
    <w:multiLevelType w:val="hybridMultilevel"/>
    <w:tmpl w:val="2BC0E18E"/>
    <w:lvl w:ilvl="0" w:tplc="EB70EC1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27F63C52"/>
    <w:multiLevelType w:val="multilevel"/>
    <w:tmpl w:val="A5E25A3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CBD"/>
    <w:multiLevelType w:val="multilevel"/>
    <w:tmpl w:val="A192C8C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98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551" w:hanging="720"/>
      </w:pPr>
      <w:rPr>
        <w:rFonts w:asciiTheme="minorHAnsi" w:hAnsi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474" w:hanging="1080"/>
      </w:pPr>
      <w:rPr>
        <w:rFonts w:asciiTheme="minorHAnsi" w:hAnsi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asciiTheme="minorHAnsi" w:hAnsi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960" w:hanging="1440"/>
      </w:pPr>
      <w:rPr>
        <w:rFonts w:asciiTheme="minorHAnsi" w:hAnsi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5523" w:hanging="1440"/>
      </w:pPr>
      <w:rPr>
        <w:rFonts w:asciiTheme="minorHAnsi" w:hAnsi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6086" w:hanging="1440"/>
      </w:pPr>
      <w:rPr>
        <w:rFonts w:asciiTheme="minorHAnsi" w:hAnsiTheme="minorHAnsi" w:hint="default"/>
        <w:color w:val="FF0000"/>
      </w:rPr>
    </w:lvl>
  </w:abstractNum>
  <w:abstractNum w:abstractNumId="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6963"/>
    <w:multiLevelType w:val="hybridMultilevel"/>
    <w:tmpl w:val="78AAA3B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878E1"/>
    <w:multiLevelType w:val="hybridMultilevel"/>
    <w:tmpl w:val="2BF839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88F4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2" w15:restartNumberingAfterBreak="0">
    <w:nsid w:val="71453929"/>
    <w:multiLevelType w:val="hybridMultilevel"/>
    <w:tmpl w:val="E144B296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2DE005A"/>
    <w:multiLevelType w:val="hybridMultilevel"/>
    <w:tmpl w:val="16AE8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D1A"/>
    <w:multiLevelType w:val="hybridMultilevel"/>
    <w:tmpl w:val="E3FCDD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3B"/>
    <w:rsid w:val="00024BBA"/>
    <w:rsid w:val="00125830"/>
    <w:rsid w:val="00126DD4"/>
    <w:rsid w:val="0013338A"/>
    <w:rsid w:val="00184D1A"/>
    <w:rsid w:val="00272C6E"/>
    <w:rsid w:val="00286DAB"/>
    <w:rsid w:val="00390E83"/>
    <w:rsid w:val="003F05E1"/>
    <w:rsid w:val="00473AF6"/>
    <w:rsid w:val="005514D2"/>
    <w:rsid w:val="00574785"/>
    <w:rsid w:val="005D28AA"/>
    <w:rsid w:val="007609D4"/>
    <w:rsid w:val="007872C4"/>
    <w:rsid w:val="00822627"/>
    <w:rsid w:val="0087497D"/>
    <w:rsid w:val="009B603B"/>
    <w:rsid w:val="00A74BC6"/>
    <w:rsid w:val="00B202E9"/>
    <w:rsid w:val="00B6242A"/>
    <w:rsid w:val="00B63C56"/>
    <w:rsid w:val="00C3252E"/>
    <w:rsid w:val="00C41567"/>
    <w:rsid w:val="00C90DBB"/>
    <w:rsid w:val="00CB316B"/>
    <w:rsid w:val="00E82A0C"/>
    <w:rsid w:val="00EF6B00"/>
    <w:rsid w:val="00FC22D1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022C"/>
  <w15:chartTrackingRefBased/>
  <w15:docId w15:val="{D036AB77-5024-485D-A4AE-F7CBB13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03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9B6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9B603B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9B60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B60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9B60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9B603B"/>
    <w:rPr>
      <w:rFonts w:ascii="Calibri" w:eastAsia="Calibri" w:hAnsi="Calibri" w:cs="Times New Roman"/>
    </w:rPr>
  </w:style>
  <w:style w:type="character" w:styleId="Hipercze">
    <w:name w:val="Hyperlink"/>
    <w:unhideWhenUsed/>
    <w:rsid w:val="009B603B"/>
    <w:rPr>
      <w:color w:val="0000FF"/>
      <w:u w:val="single"/>
    </w:rPr>
  </w:style>
  <w:style w:type="paragraph" w:styleId="Tekstpodstawowy">
    <w:name w:val="Body Text"/>
    <w:aliases w:val="body text"/>
    <w:basedOn w:val="Normalny"/>
    <w:link w:val="TekstpodstawowyZnak"/>
    <w:unhideWhenUsed/>
    <w:rsid w:val="009B603B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9B603B"/>
    <w:rPr>
      <w:rFonts w:ascii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B60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B603B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0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B603B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9B603B"/>
    <w:rPr>
      <w:rFonts w:ascii="Calibri" w:eastAsia="Calibri" w:hAnsi="Calibri" w:cs="Times New Roman"/>
    </w:rPr>
  </w:style>
  <w:style w:type="paragraph" w:customStyle="1" w:styleId="Default">
    <w:name w:val="Default"/>
    <w:rsid w:val="009B603B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9B603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9B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1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hyperlink" Target="mailto:michal.lampart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Piotr</dc:creator>
  <cp:keywords/>
  <dc:description/>
  <cp:lastModifiedBy>Lampart Michał</cp:lastModifiedBy>
  <cp:revision>3</cp:revision>
  <dcterms:created xsi:type="dcterms:W3CDTF">2020-01-08T08:06:00Z</dcterms:created>
  <dcterms:modified xsi:type="dcterms:W3CDTF">2020-01-08T08:07:00Z</dcterms:modified>
</cp:coreProperties>
</file>